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8A12" w14:textId="09C04D62" w:rsidR="003510D5" w:rsidRPr="003510D5" w:rsidRDefault="003510D5" w:rsidP="003510D5">
      <w:pPr>
        <w:spacing w:after="0" w:line="240" w:lineRule="auto"/>
        <w:jc w:val="center"/>
        <w:rPr>
          <w:rFonts w:cstheme="minorHAnsi"/>
          <w:b/>
          <w:color w:val="FFC000"/>
          <w:sz w:val="32"/>
          <w:szCs w:val="32"/>
        </w:rPr>
      </w:pPr>
      <w:r w:rsidRPr="003510D5">
        <w:rPr>
          <w:rFonts w:cstheme="minorHAnsi"/>
          <w:b/>
          <w:color w:val="FFC000"/>
          <w:sz w:val="32"/>
          <w:szCs w:val="32"/>
        </w:rPr>
        <w:t>Verhaltenskodex</w:t>
      </w:r>
      <w:r w:rsidRPr="003510D5">
        <w:rPr>
          <w:rFonts w:cstheme="minorHAnsi"/>
          <w:b/>
          <w:color w:val="FFC000"/>
          <w:sz w:val="32"/>
          <w:szCs w:val="32"/>
        </w:rPr>
        <w:t xml:space="preserve"> der Pfarrei Heilige Schutzengel Vorderrhön</w:t>
      </w:r>
      <w:r w:rsidRPr="003510D5">
        <w:rPr>
          <w:rFonts w:cstheme="minorHAnsi"/>
          <w:b/>
          <w:color w:val="FFC000"/>
          <w:sz w:val="32"/>
          <w:szCs w:val="32"/>
        </w:rPr>
        <w:br/>
      </w:r>
    </w:p>
    <w:p w14:paraId="113CDABD" w14:textId="77777777" w:rsidR="003510D5" w:rsidRPr="003510D5" w:rsidRDefault="003510D5" w:rsidP="003510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Respekt, Wertschätzung und Vertrauen prägen die Arbeit mit Kindern, Jugendlichen, Schutz-, und Hilfsbedürftigen, sowie das Miteinander der haupt- und ehrenamtlichen MitarbeiterInnen. Wir verpflichten uns konkrete Maßnahmen umzusetzen, um Grenzverletzungen, sexuelle Übergriffe und Missbrauch zu verhindern. Gerade in Bezug auf Kinder- und Jugendliche sind wir uns auch der eigenen Vorbildfunktion bewusst.</w:t>
      </w:r>
    </w:p>
    <w:p w14:paraId="66A0446C" w14:textId="77777777" w:rsidR="003510D5" w:rsidRPr="003510D5" w:rsidRDefault="003510D5" w:rsidP="003510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Dieser Verhaltenskodex soll allen Beteiligten einen verbindlichen Orientierungsrahmen geben, um:</w:t>
      </w:r>
    </w:p>
    <w:p w14:paraId="2D6DD32E" w14:textId="77777777" w:rsidR="003510D5" w:rsidRPr="003510D5" w:rsidRDefault="003510D5" w:rsidP="003510D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das Wohl und die Entwicklung der Schutzbefohlenen zu fördern,</w:t>
      </w:r>
    </w:p>
    <w:p w14:paraId="694B4D6C" w14:textId="77777777" w:rsidR="003510D5" w:rsidRPr="003510D5" w:rsidRDefault="003510D5" w:rsidP="003510D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das eigene Handeln zu hinterfragen,</w:t>
      </w:r>
    </w:p>
    <w:p w14:paraId="08E60D8B" w14:textId="77777777" w:rsidR="003510D5" w:rsidRPr="003510D5" w:rsidRDefault="003510D5" w:rsidP="003510D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Grenzverletzungen zu erkennen und angemessen darauf zu reagieren</w:t>
      </w:r>
    </w:p>
    <w:p w14:paraId="7CA230C9" w14:textId="77777777" w:rsidR="003510D5" w:rsidRPr="003510D5" w:rsidRDefault="003510D5" w:rsidP="003510D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mögliche Täter*innen abzuschrecken.</w:t>
      </w:r>
    </w:p>
    <w:p w14:paraId="75367E0F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14:paraId="468F0D25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b/>
          <w:bCs/>
          <w:sz w:val="24"/>
          <w:szCs w:val="24"/>
        </w:rPr>
      </w:pPr>
      <w:r w:rsidRPr="003510D5">
        <w:rPr>
          <w:rFonts w:cstheme="minorHAnsi"/>
          <w:b/>
          <w:bCs/>
          <w:sz w:val="24"/>
          <w:szCs w:val="24"/>
        </w:rPr>
        <w:t>Sprache, Wortwahl und Kleidung</w:t>
      </w:r>
    </w:p>
    <w:p w14:paraId="78F81C7B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Jede Kommunikation wird von der Wertschätzung des Gegenübers geprägt.</w:t>
      </w:r>
    </w:p>
    <w:p w14:paraId="616984EE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Jede Art von Diskriminierung hat in unseren Pfarreien keinen Platz!</w:t>
      </w:r>
    </w:p>
    <w:p w14:paraId="281D8E2E" w14:textId="77777777" w:rsidR="003510D5" w:rsidRPr="003510D5" w:rsidRDefault="003510D5" w:rsidP="003510D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Wir achten besonders auf die eigene Wortwahl, denn Wörter können beleidigen und den anderen erniedrigen.</w:t>
      </w:r>
    </w:p>
    <w:p w14:paraId="10E44DE2" w14:textId="77777777" w:rsidR="003510D5" w:rsidRPr="003510D5" w:rsidRDefault="003510D5" w:rsidP="003510D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Wir dulden keine Beschimpfungen. Besonders sexualisierte Beleidigungen werden thematisiert und damit Bewusstsein geschaffen, dass und wie sie andere verletzen.</w:t>
      </w:r>
    </w:p>
    <w:p w14:paraId="218CA268" w14:textId="77777777" w:rsidR="003510D5" w:rsidRPr="003510D5" w:rsidRDefault="003510D5" w:rsidP="003510D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Wir dulden es nicht, wenn Gruppenmitglieder wegen ihrer Kleidung ausgegrenzt werden.</w:t>
      </w:r>
    </w:p>
    <w:p w14:paraId="2B3F3850" w14:textId="77777777" w:rsidR="003510D5" w:rsidRPr="003510D5" w:rsidRDefault="003510D5" w:rsidP="003510D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Wir achten auf eigene angemessene Kleidung, die weder zu freizügig noch mit provozierenden Aufdrucken versehen ist.</w:t>
      </w:r>
    </w:p>
    <w:p w14:paraId="3360284F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14:paraId="0AF730F9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b/>
          <w:bCs/>
          <w:sz w:val="24"/>
          <w:szCs w:val="24"/>
        </w:rPr>
      </w:pPr>
      <w:r w:rsidRPr="003510D5">
        <w:rPr>
          <w:rFonts w:cstheme="minorHAnsi"/>
          <w:b/>
          <w:bCs/>
          <w:sz w:val="24"/>
          <w:szCs w:val="24"/>
        </w:rPr>
        <w:t>Adäquate Gestaltung von Nähe und Distanz</w:t>
      </w:r>
    </w:p>
    <w:p w14:paraId="481E84DE" w14:textId="77777777" w:rsidR="003510D5" w:rsidRPr="003510D5" w:rsidRDefault="003510D5" w:rsidP="003510D5">
      <w:pPr>
        <w:spacing w:after="0" w:line="240" w:lineRule="auto"/>
        <w:ind w:left="68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Ein vertrauensvolles Miteinander von Kindern und Jugendlichen mit den ehren- und hauptamtlichen Bezugspersonen in der Kirchengemeinde erfordert ein ausgewogenes Verhältnis von Nähe und Distanz. Die Verantwortung dafür liegt immer bei den Betreuern.</w:t>
      </w:r>
    </w:p>
    <w:p w14:paraId="55DC0C44" w14:textId="77777777" w:rsidR="003510D5" w:rsidRPr="003510D5" w:rsidRDefault="003510D5" w:rsidP="003510D5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 xml:space="preserve">Wir respektieren in jedem Fall die individuellen Grenzen der Kinder und Jugendlichen. Der </w:t>
      </w:r>
      <w:proofErr w:type="gramStart"/>
      <w:r w:rsidRPr="003510D5">
        <w:rPr>
          <w:rFonts w:cstheme="minorHAnsi"/>
          <w:sz w:val="24"/>
          <w:szCs w:val="24"/>
        </w:rPr>
        <w:t>Andere</w:t>
      </w:r>
      <w:proofErr w:type="gramEnd"/>
      <w:r w:rsidRPr="003510D5">
        <w:rPr>
          <w:rFonts w:cstheme="minorHAnsi"/>
          <w:sz w:val="24"/>
          <w:szCs w:val="24"/>
        </w:rPr>
        <w:t xml:space="preserve"> hat ein Recht darauf, dass wir nicht übergriffig werden, weder durch unsere Sprache noch durch unser Handeln.</w:t>
      </w:r>
    </w:p>
    <w:p w14:paraId="75CF81D0" w14:textId="77777777" w:rsidR="003510D5" w:rsidRPr="003510D5" w:rsidRDefault="003510D5" w:rsidP="003510D5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Ein Geheimnis zwischen Bezugspersonen und Minderjährigen darf es nur geben, wenn daraus keine Verpflichtung für den Minderjährigen entsteht.</w:t>
      </w:r>
    </w:p>
    <w:p w14:paraId="34B40518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14:paraId="79343F5C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b/>
          <w:bCs/>
          <w:sz w:val="24"/>
          <w:szCs w:val="24"/>
        </w:rPr>
      </w:pPr>
      <w:r w:rsidRPr="003510D5">
        <w:rPr>
          <w:rFonts w:cstheme="minorHAnsi"/>
          <w:b/>
          <w:bCs/>
          <w:sz w:val="24"/>
          <w:szCs w:val="24"/>
        </w:rPr>
        <w:t>Angemessenheit von Körperkontakten</w:t>
      </w:r>
    </w:p>
    <w:p w14:paraId="646F9DDD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 xml:space="preserve">Der Umgang mit Körperkontakten ist altersabhängig verschieden. Kindergartenkinder oder Jugendliche haben verschiedene Bedürfnisse. </w:t>
      </w:r>
    </w:p>
    <w:p w14:paraId="2908016D" w14:textId="77777777" w:rsidR="003510D5" w:rsidRPr="003510D5" w:rsidRDefault="003510D5" w:rsidP="003510D5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Wir nehmen eigene und fremde Grenzen wahr und respektieren sie. Jeder Mensch definiert seine eigenen Grenzen.</w:t>
      </w:r>
    </w:p>
    <w:p w14:paraId="332B79C8" w14:textId="77777777" w:rsidR="003510D5" w:rsidRPr="003510D5" w:rsidRDefault="003510D5" w:rsidP="003510D5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Wir gehen mit dem oft auch notwendigen und wichtigen Körperkontakt sensibel um.</w:t>
      </w:r>
    </w:p>
    <w:p w14:paraId="25EBB690" w14:textId="77777777" w:rsidR="003510D5" w:rsidRPr="003510D5" w:rsidRDefault="003510D5" w:rsidP="003510D5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Unerwünschte Berührungen und körperliche Annäherungen sind nicht erlaubt. Sie verbieten sich besonders, wenn sie mit dem Versprechen einer Belohnung oder Androhung einer Strafe verbunden sind.</w:t>
      </w:r>
    </w:p>
    <w:p w14:paraId="5EC78209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bCs/>
          <w:sz w:val="24"/>
          <w:szCs w:val="24"/>
        </w:rPr>
      </w:pPr>
    </w:p>
    <w:p w14:paraId="26D4774D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b/>
          <w:bCs/>
          <w:sz w:val="24"/>
          <w:szCs w:val="24"/>
        </w:rPr>
      </w:pPr>
      <w:r w:rsidRPr="003510D5">
        <w:rPr>
          <w:rFonts w:cstheme="minorHAnsi"/>
          <w:b/>
          <w:bCs/>
          <w:sz w:val="24"/>
          <w:szCs w:val="24"/>
        </w:rPr>
        <w:t>Beachtung der Intimsphäre</w:t>
      </w:r>
    </w:p>
    <w:p w14:paraId="3FF18B41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Der Schutz der Intimsphäre jedes Einzelnen wird sichergestellt, z.B. durch Sichtschutz bei offenen Türen.</w:t>
      </w:r>
    </w:p>
    <w:p w14:paraId="307824FD" w14:textId="77777777" w:rsidR="003510D5" w:rsidRPr="003510D5" w:rsidRDefault="003510D5" w:rsidP="003510D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Situationen, in denen einzelne Mitarbeiter*innen mit Kindern und Jugendlichen allein sind, gestalten wir offen und transparent.</w:t>
      </w:r>
    </w:p>
    <w:p w14:paraId="0C2FD8BA" w14:textId="77777777" w:rsidR="003510D5" w:rsidRPr="003510D5" w:rsidRDefault="003510D5" w:rsidP="003510D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Bei Übernachtungen erfolgen die Zimmeraufteilung und das Duschen nach Geschlechtern getrennt.</w:t>
      </w:r>
    </w:p>
    <w:p w14:paraId="229A10BE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bCs/>
          <w:sz w:val="24"/>
          <w:szCs w:val="24"/>
        </w:rPr>
      </w:pPr>
    </w:p>
    <w:p w14:paraId="0B811335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b/>
          <w:bCs/>
          <w:sz w:val="24"/>
          <w:szCs w:val="24"/>
        </w:rPr>
      </w:pPr>
      <w:r w:rsidRPr="003510D5">
        <w:rPr>
          <w:rFonts w:cstheme="minorHAnsi"/>
          <w:b/>
          <w:bCs/>
          <w:sz w:val="24"/>
          <w:szCs w:val="24"/>
        </w:rPr>
        <w:t>Zulässigkeit von Geschenken und Vergünstigungen</w:t>
      </w:r>
    </w:p>
    <w:p w14:paraId="71CA84FC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Geschenke als Dank und Zeichen der Wertschätzung sind im vorher festgelegten, transparenten Rahmen möglich.</w:t>
      </w:r>
    </w:p>
    <w:p w14:paraId="392D212E" w14:textId="77777777" w:rsidR="003510D5" w:rsidRPr="003510D5" w:rsidRDefault="003510D5" w:rsidP="003510D5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10D5">
        <w:rPr>
          <w:rFonts w:cstheme="minorHAnsi"/>
          <w:sz w:val="24"/>
          <w:szCs w:val="24"/>
        </w:rPr>
        <w:t xml:space="preserve">Geschenke und Vergünstigungen gehen an die gesamte Gruppe, denn eine Bevorzugung Einzelner kann zu gefährlichen Abhängigkeiten führen. </w:t>
      </w:r>
    </w:p>
    <w:p w14:paraId="015CA240" w14:textId="1AF16144" w:rsidR="003510D5" w:rsidRPr="003510D5" w:rsidRDefault="003510D5" w:rsidP="003510D5">
      <w:pPr>
        <w:pStyle w:val="Listenabsatz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10D5">
        <w:rPr>
          <w:rFonts w:cstheme="minorHAnsi"/>
          <w:sz w:val="24"/>
          <w:szCs w:val="24"/>
        </w:rPr>
        <w:t>(Ausnahme: Geburtstage, Jubiläen, Abschiedsfeiern und Ähnliches)</w:t>
      </w:r>
    </w:p>
    <w:p w14:paraId="59C9178A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14:paraId="1298DC02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b/>
          <w:bCs/>
          <w:sz w:val="24"/>
          <w:szCs w:val="24"/>
        </w:rPr>
      </w:pPr>
      <w:r w:rsidRPr="003510D5">
        <w:rPr>
          <w:rFonts w:cstheme="minorHAnsi"/>
          <w:b/>
          <w:bCs/>
          <w:sz w:val="24"/>
          <w:szCs w:val="24"/>
        </w:rPr>
        <w:t>Umgang mit Medien und sozialen Netzwerken und deren Nutzung</w:t>
      </w:r>
    </w:p>
    <w:p w14:paraId="0D3CF3A0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Der Gebrauch von Smartphone und anderer Medien und die Nutzung der „sozialen Netzwerke“ wird besprochen und geregelt.</w:t>
      </w:r>
    </w:p>
    <w:p w14:paraId="765AEBC2" w14:textId="77777777" w:rsidR="003510D5" w:rsidRPr="003510D5" w:rsidRDefault="003510D5" w:rsidP="003510D5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Wir achten auf die Einhaltung des Datenschutzgesetzes, besonders bei dem Recht am eigenen Bild wie bei der Veröffentlichung von Fotos und Videos in sozialen Netzwerken.</w:t>
      </w:r>
    </w:p>
    <w:p w14:paraId="191358E1" w14:textId="77777777" w:rsidR="003510D5" w:rsidRPr="003510D5" w:rsidRDefault="003510D5" w:rsidP="003510D5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Das Aufnehmen und Veröffentlichen von Fotos und Videos erfolgt neben der Erlaubnis durch den Erziehungsberechtigten nur auch mit Einverständnis der Kinder und Jugendlichen.</w:t>
      </w:r>
    </w:p>
    <w:p w14:paraId="16457CB1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</w:p>
    <w:p w14:paraId="02CD5AB0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b/>
          <w:bCs/>
          <w:sz w:val="24"/>
          <w:szCs w:val="24"/>
        </w:rPr>
      </w:pPr>
      <w:r w:rsidRPr="003510D5">
        <w:rPr>
          <w:rFonts w:cstheme="minorHAnsi"/>
          <w:b/>
          <w:bCs/>
          <w:sz w:val="24"/>
          <w:szCs w:val="24"/>
        </w:rPr>
        <w:t>Konsequenzen bei Regelüberschreitung</w:t>
      </w:r>
    </w:p>
    <w:p w14:paraId="1B1CB0E3" w14:textId="77777777" w:rsidR="003510D5" w:rsidRPr="003510D5" w:rsidRDefault="003510D5" w:rsidP="003510D5">
      <w:pPr>
        <w:spacing w:after="0" w:line="240" w:lineRule="auto"/>
        <w:ind w:left="66"/>
        <w:jc w:val="both"/>
        <w:rPr>
          <w:rFonts w:cstheme="minorHAnsi"/>
          <w:sz w:val="24"/>
          <w:szCs w:val="24"/>
        </w:rPr>
      </w:pPr>
      <w:r w:rsidRPr="003510D5">
        <w:rPr>
          <w:rFonts w:cstheme="minorHAnsi"/>
          <w:sz w:val="24"/>
          <w:szCs w:val="24"/>
        </w:rPr>
        <w:t>Wenn die Regeln für das gute Miteinander missachtet werden, ist es Aufgabe der LeiterInnen mit angemessenen Konsequenzen zu reagieren.</w:t>
      </w:r>
    </w:p>
    <w:p w14:paraId="36BAA89E" w14:textId="77777777" w:rsidR="003510D5" w:rsidRPr="003510D5" w:rsidRDefault="003510D5" w:rsidP="003510D5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10D5">
        <w:rPr>
          <w:rFonts w:cstheme="minorHAnsi"/>
          <w:sz w:val="24"/>
          <w:szCs w:val="24"/>
        </w:rPr>
        <w:t>Wir schließen körperliche, psychische, verbale Gewalt als Disziplinierungsmaßnahme aus.</w:t>
      </w:r>
    </w:p>
    <w:p w14:paraId="31E39010" w14:textId="77777777" w:rsidR="003510D5" w:rsidRPr="003510D5" w:rsidRDefault="003510D5" w:rsidP="003510D5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510D5">
        <w:rPr>
          <w:rFonts w:cstheme="minorHAnsi"/>
          <w:bCs/>
          <w:sz w:val="24"/>
          <w:szCs w:val="24"/>
        </w:rPr>
        <w:t>Wir besprechen mögliche Sanktionen und legen sie offen. Sie sollen in direktem Zusammenhang - zeitlich und sachlich - mit der Tat stehen und müssen angemessen sein.</w:t>
      </w:r>
    </w:p>
    <w:p w14:paraId="6FAC519D" w14:textId="77777777" w:rsidR="00F97A05" w:rsidRDefault="00F97A05"/>
    <w:sectPr w:rsidR="00F97A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0519"/>
    <w:multiLevelType w:val="hybridMultilevel"/>
    <w:tmpl w:val="1B0CFE2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23C2"/>
    <w:multiLevelType w:val="hybridMultilevel"/>
    <w:tmpl w:val="F2B6B0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D0189"/>
    <w:multiLevelType w:val="hybridMultilevel"/>
    <w:tmpl w:val="CFC8B4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2AA4"/>
    <w:multiLevelType w:val="hybridMultilevel"/>
    <w:tmpl w:val="DFC8BA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A60"/>
    <w:multiLevelType w:val="hybridMultilevel"/>
    <w:tmpl w:val="7E16AE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2398E"/>
    <w:multiLevelType w:val="hybridMultilevel"/>
    <w:tmpl w:val="E050F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0742C"/>
    <w:multiLevelType w:val="hybridMultilevel"/>
    <w:tmpl w:val="D29C5E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85503">
    <w:abstractNumId w:val="3"/>
  </w:num>
  <w:num w:numId="2" w16cid:durableId="529801440">
    <w:abstractNumId w:val="5"/>
  </w:num>
  <w:num w:numId="3" w16cid:durableId="1619801648">
    <w:abstractNumId w:val="2"/>
  </w:num>
  <w:num w:numId="4" w16cid:durableId="365445650">
    <w:abstractNumId w:val="6"/>
  </w:num>
  <w:num w:numId="5" w16cid:durableId="1101757375">
    <w:abstractNumId w:val="0"/>
  </w:num>
  <w:num w:numId="6" w16cid:durableId="729427531">
    <w:abstractNumId w:val="1"/>
  </w:num>
  <w:num w:numId="7" w16cid:durableId="1556357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D5"/>
    <w:rsid w:val="00187504"/>
    <w:rsid w:val="003510D5"/>
    <w:rsid w:val="00677A05"/>
    <w:rsid w:val="00871465"/>
    <w:rsid w:val="0092237D"/>
    <w:rsid w:val="00B0622E"/>
    <w:rsid w:val="00C62230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AC68"/>
  <w15:chartTrackingRefBased/>
  <w15:docId w15:val="{0CC9FEB0-7720-4F0F-955D-9455C515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10D5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1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1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1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1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1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1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1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1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1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1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1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10D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10D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10D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0D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0D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0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1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1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1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10D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10D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10D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1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10D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1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Nathalie</dc:creator>
  <cp:keywords/>
  <dc:description/>
  <cp:lastModifiedBy>Scholz, Nathalie</cp:lastModifiedBy>
  <cp:revision>1</cp:revision>
  <dcterms:created xsi:type="dcterms:W3CDTF">2025-08-26T11:04:00Z</dcterms:created>
  <dcterms:modified xsi:type="dcterms:W3CDTF">2025-08-26T11:07:00Z</dcterms:modified>
</cp:coreProperties>
</file>